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5E3901" w:rsidTr="005E3901">
        <w:trPr>
          <w:trHeight w:val="16002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1" w:rsidRDefault="005E3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0268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ИНФОРМАЦИОННЫЙ БЮЛЛЕТЕНЬ № 1</w:t>
            </w:r>
            <w:bookmarkStart w:id="0" w:name="_GoBack"/>
            <w:bookmarkEnd w:id="0"/>
            <w:r w:rsidR="00961F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5E3901" w:rsidRDefault="005E3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961FF4">
              <w:rPr>
                <w:rFonts w:ascii="Times New Roman" w:hAnsi="Times New Roman" w:cs="Times New Roman"/>
                <w:b/>
                <w:sz w:val="28"/>
                <w:szCs w:val="28"/>
              </w:rPr>
              <w:t>11 января 2022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E3901" w:rsidRDefault="005E3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5E3901" w:rsidRPr="005E3901" w:rsidRDefault="005E3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901" w:rsidRDefault="005E3901" w:rsidP="005E3901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</w:t>
            </w:r>
            <w:r w:rsidR="00961FF4">
              <w:rPr>
                <w:rFonts w:ascii="Times New Roman" w:hAnsi="Times New Roman" w:cs="Times New Roman"/>
                <w:sz w:val="28"/>
                <w:szCs w:val="28"/>
              </w:rPr>
              <w:t>ветствующей формы справки в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</w:p>
          <w:p w:rsidR="005E3901" w:rsidRPr="005E3901" w:rsidRDefault="005E3901" w:rsidP="005E3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901">
              <w:rPr>
                <w:rFonts w:ascii="Times New Roman" w:hAnsi="Times New Roman" w:cs="Times New Roman"/>
                <w:b/>
                <w:sz w:val="28"/>
                <w:szCs w:val="28"/>
              </w:rPr>
              <w:t>(за отчетный 20</w:t>
            </w:r>
            <w:r w:rsidR="00961FF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5E3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год)»</w:t>
            </w:r>
          </w:p>
          <w:p w:rsidR="005E3901" w:rsidRPr="005E3901" w:rsidRDefault="005E3901" w:rsidP="005E3901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В течение последних лет является устоявшейся практика подготовки Министерством труда и социальной защиты Российской </w:t>
            </w:r>
            <w:proofErr w:type="gram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Федерации</w:t>
            </w:r>
            <w:proofErr w:type="gramEnd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ежегодно обновляемых Методических </w:t>
            </w:r>
            <w:hyperlink r:id="rId5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рекомендаций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-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В ходе использования в работе указанных Методических </w:t>
            </w:r>
            <w:hyperlink r:id="rId6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рекомендаций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предлагаем обратить внимание на следующее.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1. В Методических </w:t>
            </w:r>
            <w:hyperlink r:id="rId7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рекомендациях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подчеркнуто, что отдельные особенности представления сведений могут быть установлены нормативными правовыми актами субъектов Российской Федерации с учетом предоставленных полномочий.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2. В </w:t>
            </w:r>
            <w:hyperlink r:id="rId8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пункте 13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Методических рекомендаций отмечено, что перевод на государственной гражданской службе Российской Федерации предполагает увольнение и, как следствие, необходимость представления сведений в качестве кандидата.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3. Ошибочное (неточное) указание сведений вследствие ошибок и неточностей, допущенных органом публичной власти или организацией в выданных официальных документах (выписках), на основании которых представляются сведения, не влечет применение взыскания. </w:t>
            </w:r>
            <w:proofErr w:type="gram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В этой связи в Методических </w:t>
            </w:r>
            <w:hyperlink r:id="rId9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рекомендациях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отмечена целесообразность представления сведений на основании официальных документов, например, на основании полученной информации из единой </w:t>
            </w:r>
            <w:hyperlink r:id="rId10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формы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, установленной Указанием Банка России от 27 мая 2021 г. N 5798-У "О порядке предоставления кредитными организациями и </w:t>
            </w:r>
            <w:proofErr w:type="spell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некредитными</w:t>
            </w:r>
            <w:proofErr w:type="spellEnd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финансовыми организациями гражданам сведений о наличии счетов и иной информации, необходимой для представления гражданами сведений о доходах, расходах, об имуществе</w:t>
            </w:r>
            <w:proofErr w:type="gramEnd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и </w:t>
            </w:r>
            <w:proofErr w:type="gram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обязательствах</w:t>
            </w:r>
            <w:proofErr w:type="gramEnd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имущественного характера, о единой форме предоставления сведений и порядке ее заполнения".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4. Актуализирован перечень выплат, которые могут быть признаны доходом для целей законодательства Российской Федерации о противодействии коррупции.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5. Указан порядок отражения социальной поддержки молодежи в возрасте от 14 до 22 лет для повышения доступности организаций культуры (т.н. "Пушкинская карта").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6. </w:t>
            </w:r>
            <w:proofErr w:type="gram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В Методических </w:t>
            </w:r>
            <w:hyperlink r:id="rId11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рекомендациях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учтены изменения, предусмотренные </w:t>
            </w:r>
            <w:hyperlink r:id="rId12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Указом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Президента Российской Федерации от 10 декабря 2020 г.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      </w:r>
            <w:proofErr w:type="gramEnd"/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7. Определены особенности представления информации в случае приобретение недвижимого имущества посредством участия в долевом строительстве с использованием счетов </w:t>
            </w:r>
            <w:proofErr w:type="spellStart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эскроу</w:t>
            </w:r>
            <w:proofErr w:type="spellEnd"/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8. В </w:t>
            </w:r>
            <w:hyperlink r:id="rId13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пункте 154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Методических рекомендаций обозначено, что уставный капитал зарубежных организаций необходимо устанавливать в соответствии с применимым правом (допускается использование данных из официальных источников в информационно-телекоммуникационной сети "Интернет").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9. Определенны особенности представления информации об акциях, приобретенных на организованных торгах.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10. Отмечено, что при наличии обстоятельств фьючерсный договор подлежит отражению.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>11. Актуализированы особенности представления информации о срочных обязательствах финансового характера, возникающих исходя из условий договора со страховщиком.</w:t>
            </w:r>
          </w:p>
          <w:p w:rsidR="00961FF4" w:rsidRPr="00961FF4" w:rsidRDefault="00961FF4" w:rsidP="00961FF4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12. Положения Методических </w:t>
            </w:r>
            <w:hyperlink r:id="rId14" w:history="1">
              <w:r w:rsidRPr="00961FF4">
                <w:rPr>
                  <w:rFonts w:ascii="Times New Roman" w:hAnsi="Times New Roman" w:cs="Times New Roman"/>
                  <w:color w:val="0000FF"/>
                  <w:sz w:val="25"/>
                  <w:szCs w:val="25"/>
                </w:rPr>
                <w:t>рекомендаций</w:t>
              </w:r>
            </w:hyperlink>
            <w:r w:rsidRPr="00961FF4">
              <w:rPr>
                <w:rFonts w:ascii="Times New Roman" w:hAnsi="Times New Roman" w:cs="Times New Roman"/>
                <w:sz w:val="25"/>
                <w:szCs w:val="25"/>
              </w:rPr>
              <w:t xml:space="preserve"> в целом актуализированы с учетом изменений нормативных правовых актов Российской Федерации.</w:t>
            </w:r>
          </w:p>
          <w:p w:rsidR="005E3901" w:rsidRDefault="005E3901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</w:tr>
      <w:tr w:rsidR="005E3901" w:rsidTr="005E3901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1" w:rsidRDefault="005E3901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3901" w:rsidRDefault="005E3901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725E0" w:rsidRDefault="00C725E0"/>
    <w:sectPr w:rsidR="00C725E0" w:rsidSect="005E390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01"/>
    <w:rsid w:val="000268F5"/>
    <w:rsid w:val="005E3901"/>
    <w:rsid w:val="00961FF4"/>
    <w:rsid w:val="00C725E0"/>
    <w:rsid w:val="00CE0E67"/>
    <w:rsid w:val="00CE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3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5E390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5E39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3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5E390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5E39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0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68E514CCFF0B93D6BDB6C2284B56AA6F8110803F840EE03FCD8667E273473DEA2C8CA92FBE4E001E31BA12F7AD1D1A86E8D042A3E2333V7o5O" TargetMode="External"/><Relationship Id="rId13" Type="http://schemas.openxmlformats.org/officeDocument/2006/relationships/hyperlink" Target="consultantplus://offline/ref=62A68E514CCFF0B93D6BDB6C2284B56AA6F8110803F840EE03FCD8667E273473DEA2C8CA92FBE1E708E31BA12F7AD1D1A86E8D042A3E2333V7o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A68E514CCFF0B93D6BDB6C2284B56AA6F8110803F840EE03FCD8667E273473CCA290C690FDFAE604F64DF069V2oDO" TargetMode="External"/><Relationship Id="rId12" Type="http://schemas.openxmlformats.org/officeDocument/2006/relationships/hyperlink" Target="consultantplus://offline/ref=62A68E514CCFF0B93D6BDB6C2284B56AA1FF15040FFC40EE03FCD8667E273473CCA290C690FDFAE604F64DF069V2oDO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A68E514CCFF0B93D6BDB6C2284B56AA6F8110803F840EE03FCD8667E273473CCA290C690FDFAE604F64DF069V2oDO" TargetMode="External"/><Relationship Id="rId11" Type="http://schemas.openxmlformats.org/officeDocument/2006/relationships/hyperlink" Target="consultantplus://offline/ref=62A68E514CCFF0B93D6BDB6C2284B56AA6F8110803F840EE03FCD8667E273473CCA290C690FDFAE604F64DF069V2oDO" TargetMode="External"/><Relationship Id="rId5" Type="http://schemas.openxmlformats.org/officeDocument/2006/relationships/hyperlink" Target="consultantplus://offline/ref=62A68E514CCFF0B93D6BDB6C2284B56AA6F8110803F840EE03FCD8667E273473CCA290C690FDFAE604F64DF069V2oD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A68E514CCFF0B93D6BDB6C2284B56AA1F01C090AFE40EE03FCD8667E273473DEA2C8CA92FBE4E408E31BA12F7AD1D1A86E8D042A3E2333V7o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A68E514CCFF0B93D6BDB6C2284B56AA6F8110803F840EE03FCD8667E273473CCA290C690FDFAE604F64DF069V2oDO" TargetMode="External"/><Relationship Id="rId14" Type="http://schemas.openxmlformats.org/officeDocument/2006/relationships/hyperlink" Target="consultantplus://offline/ref=62A68E514CCFF0B93D6BDB6C2284B56AA6F8110803F840EE03FCD8667E273473CCA290C690FDFAE604F64DF069V2o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2022-05-26T14:44:00Z</cp:lastPrinted>
  <dcterms:created xsi:type="dcterms:W3CDTF">2022-06-24T08:45:00Z</dcterms:created>
  <dcterms:modified xsi:type="dcterms:W3CDTF">2022-06-24T08:45:00Z</dcterms:modified>
</cp:coreProperties>
</file>